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2A7C" w14:textId="640A0C6B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</w:rPr>
      </w:pPr>
      <w:r w:rsidRPr="00087152">
        <w:rPr>
          <w:rFonts w:ascii="NewCenturySchlbk-Bold" w:hAnsi="NewCenturySchlbk-Bold" w:cs="NewCenturySchlbk-Bold"/>
          <w:b/>
          <w:bCs/>
        </w:rPr>
        <w:t>Background</w:t>
      </w:r>
      <w:r w:rsidRPr="00D11AD5">
        <w:rPr>
          <w:rFonts w:ascii="NewCenturySchlbk-Bold" w:hAnsi="NewCenturySchlbk-Bold" w:cs="NewCenturySchlbk-Bold"/>
        </w:rPr>
        <w:t>:  The FY19 NDAA repealed the original RIF provision (</w:t>
      </w:r>
      <w:r w:rsidRPr="00D11AD5">
        <w:rPr>
          <w:rFonts w:ascii="NewCenturySchlbk-Bold" w:hAnsi="NewCenturySchlbk-Bold" w:cs="NewCenturySchlbk-Bold"/>
        </w:rPr>
        <w:t xml:space="preserve">Section 1073 of the </w:t>
      </w:r>
      <w:r w:rsidRPr="00D11AD5">
        <w:rPr>
          <w:rFonts w:ascii="NewCenturySchlbk-Bold" w:hAnsi="NewCenturySchlbk-Bold" w:cs="NewCenturySchlbk-Bold"/>
        </w:rPr>
        <w:t xml:space="preserve">FY11 NDAA) and codified RIF in law </w:t>
      </w:r>
      <w:r w:rsidR="00087152" w:rsidRPr="00D11AD5">
        <w:rPr>
          <w:rFonts w:ascii="NewCenturySchlbk-Bold" w:hAnsi="NewCenturySchlbk-Bold" w:cs="NewCenturySchlbk-Bold"/>
        </w:rPr>
        <w:t>(Section 2359a of title 10, United States Code)</w:t>
      </w:r>
      <w:r w:rsidR="00087152">
        <w:rPr>
          <w:rFonts w:ascii="NewCenturySchlbk-Bold" w:hAnsi="NewCenturySchlbk-Bold" w:cs="NewCenturySchlbk-Bold"/>
        </w:rPr>
        <w:t xml:space="preserve"> </w:t>
      </w:r>
      <w:r w:rsidRPr="00D11AD5">
        <w:rPr>
          <w:rFonts w:ascii="NewCenturySchlbk-Bold" w:hAnsi="NewCenturySchlbk-Bold" w:cs="NewCenturySchlbk-Bold"/>
        </w:rPr>
        <w:t xml:space="preserve">as follows.  FY20 NDAA changes are reflected with </w:t>
      </w:r>
      <w:r w:rsidRPr="00D11AD5">
        <w:rPr>
          <w:rFonts w:ascii="NewCenturySchlbk-Bold" w:hAnsi="NewCenturySchlbk-Bold" w:cs="NewCenturySchlbk-Bold"/>
          <w:b/>
          <w:bCs/>
          <w:color w:val="00B050"/>
        </w:rPr>
        <w:t>green text</w:t>
      </w:r>
      <w:r w:rsidRPr="00D11AD5">
        <w:rPr>
          <w:rFonts w:ascii="NewCenturySchlbk-Bold" w:hAnsi="NewCenturySchlbk-Bold" w:cs="NewCenturySchlbk-Bold"/>
          <w:color w:val="00B050"/>
        </w:rPr>
        <w:t xml:space="preserve"> </w:t>
      </w:r>
      <w:r w:rsidRPr="00D11AD5">
        <w:rPr>
          <w:rFonts w:ascii="NewCenturySchlbk-Bold" w:hAnsi="NewCenturySchlbk-Bold" w:cs="NewCenturySchlbk-Bold"/>
        </w:rPr>
        <w:t xml:space="preserve">below.    </w:t>
      </w:r>
    </w:p>
    <w:p w14:paraId="69E999B3" w14:textId="77777777" w:rsidR="00D11AD5" w:rsidRDefault="00D11AD5" w:rsidP="006F529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</w:p>
    <w:p w14:paraId="0FD77E95" w14:textId="59C659AB" w:rsidR="00D11AD5" w:rsidRDefault="00D11AD5" w:rsidP="006F529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  <w:r>
        <w:rPr>
          <w:rFonts w:ascii="NewCenturySchlbk-Bold" w:hAnsi="NewCenturySchlbk-Bold" w:cs="NewCenturySchlbk-Bold"/>
          <w:b/>
          <w:bCs/>
          <w:sz w:val="20"/>
          <w:szCs w:val="20"/>
        </w:rPr>
        <w:t>===================================================</w:t>
      </w:r>
    </w:p>
    <w:p w14:paraId="3C5DEE3E" w14:textId="77777777" w:rsidR="00D11AD5" w:rsidRDefault="00D11AD5" w:rsidP="006F529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0"/>
          <w:szCs w:val="20"/>
        </w:rPr>
      </w:pPr>
    </w:p>
    <w:p w14:paraId="0DD2D92A" w14:textId="3788A2BA" w:rsidR="006F5291" w:rsidRPr="00D11AD5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D11AD5">
        <w:rPr>
          <w:rFonts w:ascii="NewCenturySchlbk-Bold" w:hAnsi="NewCenturySchlbk-Bold" w:cs="NewCenturySchlbk-Bold"/>
          <w:b/>
          <w:bCs/>
        </w:rPr>
        <w:t>‘‘§ 2359a. Defense Research and Development Rapid Innovation</w:t>
      </w:r>
    </w:p>
    <w:p w14:paraId="6CE1C7BE" w14:textId="77777777" w:rsidR="006F5291" w:rsidRPr="00D11AD5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D11AD5">
        <w:rPr>
          <w:rFonts w:ascii="NewCenturySchlbk-Bold" w:hAnsi="NewCenturySchlbk-Bold" w:cs="NewCenturySchlbk-Bold"/>
          <w:b/>
          <w:bCs/>
        </w:rPr>
        <w:t>Program</w:t>
      </w:r>
    </w:p>
    <w:p w14:paraId="299788B1" w14:textId="77777777" w:rsidR="00087152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 xml:space="preserve">‘‘(a) PROGRAM </w:t>
      </w:r>
      <w:proofErr w:type="gramStart"/>
      <w:r w:rsidRPr="00D11AD5">
        <w:rPr>
          <w:rFonts w:ascii="NewCenturySchlbk-Roman" w:hAnsi="NewCenturySchlbk-Roman" w:cs="NewCenturySchlbk-Roman"/>
        </w:rPr>
        <w:t>ESTABLISHE</w:t>
      </w:r>
      <w:bookmarkStart w:id="0" w:name="_GoBack"/>
      <w:bookmarkEnd w:id="0"/>
      <w:r w:rsidRPr="00D11AD5">
        <w:rPr>
          <w:rFonts w:ascii="NewCenturySchlbk-Roman" w:hAnsi="NewCenturySchlbk-Roman" w:cs="NewCenturySchlbk-Roman"/>
        </w:rPr>
        <w:t>D.—</w:t>
      </w:r>
      <w:proofErr w:type="gramEnd"/>
    </w:p>
    <w:p w14:paraId="2CB8B9AA" w14:textId="26F53FA6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(1) The Secretary of Defense shall</w:t>
      </w:r>
    </w:p>
    <w:p w14:paraId="45B76920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establish a competitive, merit-based program to accelerate the</w:t>
      </w:r>
    </w:p>
    <w:p w14:paraId="2848DD93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fielding of technologies developed pursuant to phase II Small Business</w:t>
      </w:r>
    </w:p>
    <w:p w14:paraId="7EE4916F" w14:textId="77777777" w:rsidR="00D11AD5" w:rsidRPr="00087152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b/>
          <w:bCs/>
          <w:color w:val="00B050"/>
        </w:rPr>
      </w:pPr>
      <w:r w:rsidRPr="00D11AD5">
        <w:rPr>
          <w:rFonts w:ascii="NewCenturySchlbk-Roman" w:hAnsi="NewCenturySchlbk-Roman" w:cs="NewCenturySchlbk-Roman"/>
        </w:rPr>
        <w:t xml:space="preserve">Innovation Research Program projects, </w:t>
      </w:r>
      <w:r w:rsidR="00D11AD5" w:rsidRPr="00087152">
        <w:rPr>
          <w:rFonts w:ascii="NewCenturySchlbk-Roman" w:hAnsi="NewCenturySchlbk-Roman" w:cs="NewCenturySchlbk-Roman"/>
          <w:b/>
          <w:bCs/>
          <w:color w:val="00B050"/>
        </w:rPr>
        <w:t>phase II Small Business</w:t>
      </w:r>
    </w:p>
    <w:p w14:paraId="0E6907ED" w14:textId="5E809DC2" w:rsidR="006F5291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087152">
        <w:rPr>
          <w:rFonts w:ascii="NewCenturySchlbk-Roman" w:hAnsi="NewCenturySchlbk-Roman" w:cs="NewCenturySchlbk-Roman"/>
          <w:b/>
          <w:bCs/>
          <w:color w:val="00B050"/>
        </w:rPr>
        <w:t>Technology Transfer Program projects</w:t>
      </w:r>
      <w:r>
        <w:rPr>
          <w:rFonts w:ascii="NewCenturySchlbk-Roman" w:hAnsi="NewCenturySchlbk-Roman" w:cs="NewCenturySchlbk-Roman"/>
          <w:color w:val="00B050"/>
        </w:rPr>
        <w:t>,</w:t>
      </w:r>
      <w:r w:rsidRPr="00D11AD5">
        <w:rPr>
          <w:rFonts w:ascii="NewCenturySchlbk-Roman" w:hAnsi="NewCenturySchlbk-Roman" w:cs="NewCenturySchlbk-Roman"/>
        </w:rPr>
        <w:t xml:space="preserve"> </w:t>
      </w:r>
      <w:r w:rsidR="006F5291" w:rsidRPr="00D11AD5">
        <w:rPr>
          <w:rFonts w:ascii="NewCenturySchlbk-Roman" w:hAnsi="NewCenturySchlbk-Roman" w:cs="NewCenturySchlbk-Roman"/>
        </w:rPr>
        <w:t>technologies developed</w:t>
      </w:r>
    </w:p>
    <w:p w14:paraId="6E61D96D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by the defense laboratories, and other innovative technologies</w:t>
      </w:r>
    </w:p>
    <w:p w14:paraId="3ADF0BA1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(including dual use technologies).</w:t>
      </w:r>
    </w:p>
    <w:p w14:paraId="19CE0206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‘‘(2) The purpose of this program is to stimulate innovative</w:t>
      </w:r>
    </w:p>
    <w:p w14:paraId="0F304E30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technologies and reduce acquisition or lifecycle costs, address technical</w:t>
      </w:r>
    </w:p>
    <w:p w14:paraId="4B344F25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risks, improve the timeliness and thoroughness of test and</w:t>
      </w:r>
    </w:p>
    <w:p w14:paraId="30CD11C3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evaluation outcomes, and rapidly insert such products directly in</w:t>
      </w:r>
    </w:p>
    <w:p w14:paraId="462F3F14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support of primarily major defense acquisition programs, but also</w:t>
      </w:r>
    </w:p>
    <w:p w14:paraId="1D93C8EB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other defense acquisition programs that meet critical national security</w:t>
      </w:r>
    </w:p>
    <w:p w14:paraId="498FB35E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needs.</w:t>
      </w:r>
    </w:p>
    <w:p w14:paraId="28E0E861" w14:textId="77777777" w:rsidR="006F5291" w:rsidRPr="00D11AD5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 xml:space="preserve">‘‘(b) </w:t>
      </w:r>
      <w:proofErr w:type="gramStart"/>
      <w:r w:rsidRPr="00D11AD5">
        <w:rPr>
          <w:rFonts w:ascii="NewCenturySchlbk-Roman" w:hAnsi="NewCenturySchlbk-Roman" w:cs="NewCenturySchlbk-Roman"/>
        </w:rPr>
        <w:t>GUIDELINES.—</w:t>
      </w:r>
      <w:proofErr w:type="gramEnd"/>
      <w:r w:rsidRPr="00D11AD5">
        <w:rPr>
          <w:rFonts w:ascii="NewCenturySchlbk-Roman" w:hAnsi="NewCenturySchlbk-Roman" w:cs="NewCenturySchlbk-Roman"/>
        </w:rPr>
        <w:t>The Secretary shall issue guidelines for the</w:t>
      </w:r>
    </w:p>
    <w:p w14:paraId="573F92CD" w14:textId="77777777" w:rsidR="006F5291" w:rsidRPr="00D11AD5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operation of the program. At a minimum such guidance shall provide</w:t>
      </w:r>
    </w:p>
    <w:p w14:paraId="3CEF99D7" w14:textId="77777777" w:rsidR="006F5291" w:rsidRPr="00D11AD5" w:rsidRDefault="006F5291" w:rsidP="006F529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for the following:</w:t>
      </w:r>
    </w:p>
    <w:p w14:paraId="4EED9F00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‘‘(1) The issuance of one or more broad agency announcements</w:t>
      </w:r>
    </w:p>
    <w:p w14:paraId="0CF9B14C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or the use of any other competitive or merit-based processes</w:t>
      </w:r>
    </w:p>
    <w:p w14:paraId="62137278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by the Department of Defense for candidate proposals</w:t>
      </w:r>
    </w:p>
    <w:p w14:paraId="1F1B58D6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in support of defense acquisition programs as described in</w:t>
      </w:r>
    </w:p>
    <w:p w14:paraId="772BCB27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subsection (a).</w:t>
      </w:r>
    </w:p>
    <w:p w14:paraId="661D86F5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‘‘(2) The review of candidate proposals by the Department</w:t>
      </w:r>
    </w:p>
    <w:p w14:paraId="15CF6582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 xml:space="preserve">of Defense and by each military department and the </w:t>
      </w:r>
      <w:proofErr w:type="spellStart"/>
      <w:r w:rsidRPr="00D11AD5">
        <w:rPr>
          <w:rFonts w:ascii="NewCenturySchlbk-Roman" w:hAnsi="NewCenturySchlbk-Roman" w:cs="NewCenturySchlbk-Roman"/>
        </w:rPr>
        <w:t>meritbased</w:t>
      </w:r>
      <w:proofErr w:type="spellEnd"/>
    </w:p>
    <w:p w14:paraId="5075F368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selection of the most promising cost-effective proposals</w:t>
      </w:r>
    </w:p>
    <w:p w14:paraId="5807CC0C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for funding through contracts, cooperative agreements, and</w:t>
      </w:r>
    </w:p>
    <w:p w14:paraId="3E2BDE72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other transactions for the purposes of carrying out the program.</w:t>
      </w:r>
    </w:p>
    <w:p w14:paraId="34019F72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‘‘(3) The total amount of funding provided to any project</w:t>
      </w:r>
    </w:p>
    <w:p w14:paraId="3D4E9EB3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under the program from funding provided under subsection</w:t>
      </w:r>
    </w:p>
    <w:p w14:paraId="353842CD" w14:textId="77777777" w:rsidR="00087152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trike/>
          <w:color w:val="FF0000"/>
          <w:highlight w:val="yellow"/>
        </w:rPr>
      </w:pPr>
      <w:r w:rsidRPr="00D11AD5">
        <w:rPr>
          <w:rFonts w:ascii="NewCenturySchlbk-Roman" w:hAnsi="NewCenturySchlbk-Roman" w:cs="NewCenturySchlbk-Roman"/>
        </w:rPr>
        <w:t xml:space="preserve">(d) shall not exceed </w:t>
      </w:r>
      <w:r w:rsidR="00087152" w:rsidRPr="00087152">
        <w:rPr>
          <w:rFonts w:ascii="NewCenturySchlbk-Roman" w:hAnsi="NewCenturySchlbk-Roman" w:cs="NewCenturySchlbk-Roman"/>
          <w:b/>
          <w:bCs/>
          <w:color w:val="00B050"/>
        </w:rPr>
        <w:t>$6,000,000</w:t>
      </w:r>
      <w:r w:rsidR="00087152">
        <w:rPr>
          <w:rFonts w:ascii="NewCenturySchlbk-Roman" w:hAnsi="NewCenturySchlbk-Roman" w:cs="NewCenturySchlbk-Roman"/>
        </w:rPr>
        <w:t xml:space="preserve">.  </w:t>
      </w:r>
      <w:r w:rsidRPr="00087152">
        <w:rPr>
          <w:rFonts w:ascii="NewCenturySchlbk-Roman" w:hAnsi="NewCenturySchlbk-Roman" w:cs="NewCenturySchlbk-Roman"/>
          <w:strike/>
          <w:color w:val="FF0000"/>
          <w:highlight w:val="yellow"/>
        </w:rPr>
        <w:t xml:space="preserve">$3,000,000, unless the Secretary, </w:t>
      </w:r>
    </w:p>
    <w:p w14:paraId="67ED8972" w14:textId="00A71470" w:rsidR="006F5291" w:rsidRPr="00087152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trike/>
          <w:color w:val="FF0000"/>
          <w:highlight w:val="yellow"/>
        </w:rPr>
      </w:pPr>
      <w:r w:rsidRPr="00087152">
        <w:rPr>
          <w:rFonts w:ascii="NewCenturySchlbk-Roman" w:hAnsi="NewCenturySchlbk-Roman" w:cs="NewCenturySchlbk-Roman"/>
          <w:strike/>
          <w:color w:val="FF0000"/>
          <w:highlight w:val="yellow"/>
        </w:rPr>
        <w:t>or the</w:t>
      </w:r>
      <w:r w:rsidR="00087152">
        <w:rPr>
          <w:rFonts w:ascii="NewCenturySchlbk-Roman" w:hAnsi="NewCenturySchlbk-Roman" w:cs="NewCenturySchlbk-Roman"/>
          <w:strike/>
          <w:color w:val="FF0000"/>
          <w:highlight w:val="yellow"/>
        </w:rPr>
        <w:t xml:space="preserve"> </w:t>
      </w:r>
      <w:r w:rsidRPr="00087152">
        <w:rPr>
          <w:rFonts w:ascii="NewCenturySchlbk-Roman" w:hAnsi="NewCenturySchlbk-Roman" w:cs="NewCenturySchlbk-Roman"/>
          <w:strike/>
          <w:color w:val="FF0000"/>
          <w:highlight w:val="yellow"/>
        </w:rPr>
        <w:t>Secretary’s designee, approves a larger amount of funding for</w:t>
      </w:r>
    </w:p>
    <w:p w14:paraId="1EBEB9F3" w14:textId="77777777" w:rsidR="006F5291" w:rsidRPr="00087152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trike/>
          <w:color w:val="FF0000"/>
        </w:rPr>
      </w:pPr>
      <w:r w:rsidRPr="00087152">
        <w:rPr>
          <w:rFonts w:ascii="NewCenturySchlbk-Roman" w:hAnsi="NewCenturySchlbk-Roman" w:cs="NewCenturySchlbk-Roman"/>
          <w:strike/>
          <w:color w:val="FF0000"/>
          <w:highlight w:val="yellow"/>
        </w:rPr>
        <w:t>the project.</w:t>
      </w:r>
    </w:p>
    <w:p w14:paraId="15F06976" w14:textId="77777777" w:rsidR="006F5291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‘‘(4) No project shall receive more than a total of two</w:t>
      </w:r>
    </w:p>
    <w:p w14:paraId="420A218C" w14:textId="77777777" w:rsidR="00D11AD5" w:rsidRPr="00D11AD5" w:rsidRDefault="006F5291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years of funding under the program from funding</w:t>
      </w:r>
      <w:r w:rsidR="00D11AD5" w:rsidRPr="00D11AD5">
        <w:rPr>
          <w:rFonts w:ascii="NewCenturySchlbk-Roman" w:hAnsi="NewCenturySchlbk-Roman" w:cs="NewCenturySchlbk-Roman"/>
        </w:rPr>
        <w:t xml:space="preserve"> provided </w:t>
      </w:r>
    </w:p>
    <w:p w14:paraId="61A02132" w14:textId="3624EFA3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under subsection (d), unless the Secretary, or the Secretary’s</w:t>
      </w:r>
    </w:p>
    <w:p w14:paraId="57266257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designee, approves funding for any additional year.</w:t>
      </w:r>
    </w:p>
    <w:p w14:paraId="76978203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‘‘(5) Mechanisms to facilitate transition of follow-on or current</w:t>
      </w:r>
    </w:p>
    <w:p w14:paraId="2D63A833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projects carried out under the program into defense</w:t>
      </w:r>
    </w:p>
    <w:p w14:paraId="633870C9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acquisition programs, through the use of the authorities of</w:t>
      </w:r>
    </w:p>
    <w:p w14:paraId="074BBB12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section 2302e of this title or such other authorities as may</w:t>
      </w:r>
    </w:p>
    <w:p w14:paraId="7F54522A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be appropriate to conduct further testing, low rate production,</w:t>
      </w:r>
    </w:p>
    <w:p w14:paraId="60E1110A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lastRenderedPageBreak/>
        <w:t>or full rate production of technologies developed under the</w:t>
      </w:r>
    </w:p>
    <w:p w14:paraId="3557892C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program.</w:t>
      </w:r>
    </w:p>
    <w:p w14:paraId="7A361CF8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‘‘(6) Projects are selected using merit-based selection procedures</w:t>
      </w:r>
    </w:p>
    <w:p w14:paraId="09025AF2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and the selection of projects is not subject to undue</w:t>
      </w:r>
    </w:p>
    <w:p w14:paraId="3CB612DA" w14:textId="77B14E70" w:rsidR="006273DD" w:rsidRDefault="00D11AD5" w:rsidP="00087152">
      <w:pPr>
        <w:spacing w:after="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influence by Congress or other Federal agencies.</w:t>
      </w:r>
    </w:p>
    <w:p w14:paraId="1E65F9F5" w14:textId="77777777" w:rsidR="00087152" w:rsidRDefault="00087152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bCs/>
          <w:color w:val="00B050"/>
          <w14:textFill>
            <w14:solidFill>
              <w14:srgbClr w14:val="00B050">
                <w14:lumMod w14:val="75000"/>
              </w14:srgbClr>
            </w14:solidFill>
          </w14:textFill>
        </w:rPr>
      </w:pPr>
      <w:r w:rsidRPr="00087152">
        <w:rPr>
          <w:rFonts w:ascii="NewCenturySchlbk-Roman" w:hAnsi="NewCenturySchlbk-Roman" w:cs="NewCenturySchlbk-Roman"/>
          <w:b/>
          <w:bCs/>
          <w:color w:val="00B050"/>
        </w:rPr>
        <w:t>(7) A preference under the program for funding small</w:t>
      </w:r>
      <w:r w:rsidRPr="00087152">
        <w:rPr>
          <w:rFonts w:ascii="NewCenturySchlbk-Roman" w:hAnsi="NewCenturySchlbk-Roman" w:cs="NewCenturySchlbk-Roman"/>
          <w:b/>
          <w:bCs/>
          <w:color w:val="00B050"/>
          <w14:textFill>
            <w14:solidFill>
              <w14:srgbClr w14:val="00B050">
                <w14:lumMod w14:val="75000"/>
              </w14:srgbClr>
            </w14:solidFill>
          </w14:textFill>
        </w:rPr>
        <w:t xml:space="preserve"> </w:t>
      </w:r>
    </w:p>
    <w:p w14:paraId="681B0EA1" w14:textId="24C7C1E3" w:rsidR="00087152" w:rsidRPr="00087152" w:rsidRDefault="00087152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bCs/>
          <w:color w:val="00B050"/>
        </w:rPr>
      </w:pPr>
      <w:r w:rsidRPr="00087152">
        <w:rPr>
          <w:rFonts w:ascii="NewCenturySchlbk-Roman" w:hAnsi="NewCenturySchlbk-Roman" w:cs="NewCenturySchlbk-Roman"/>
          <w:b/>
          <w:bCs/>
          <w:color w:val="00B050"/>
        </w:rPr>
        <w:t>business concerns.</w:t>
      </w:r>
    </w:p>
    <w:p w14:paraId="459FCDFC" w14:textId="77777777" w:rsidR="00087152" w:rsidRPr="00D11AD5" w:rsidRDefault="00087152" w:rsidP="000871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14:paraId="7E85622C" w14:textId="77777777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‘‘(c) TREATMENT PURSUANT TO CERTAIN CONGRESSIONAL</w:t>
      </w:r>
    </w:p>
    <w:p w14:paraId="5E1426A5" w14:textId="77777777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proofErr w:type="gramStart"/>
      <w:r w:rsidRPr="00D11AD5">
        <w:rPr>
          <w:rFonts w:ascii="NewCenturySchlbk-Roman" w:hAnsi="NewCenturySchlbk-Roman" w:cs="NewCenturySchlbk-Roman"/>
        </w:rPr>
        <w:t>RULES.—</w:t>
      </w:r>
      <w:proofErr w:type="gramEnd"/>
      <w:r w:rsidRPr="00D11AD5">
        <w:rPr>
          <w:rFonts w:ascii="NewCenturySchlbk-Roman" w:hAnsi="NewCenturySchlbk-Roman" w:cs="NewCenturySchlbk-Roman"/>
        </w:rPr>
        <w:t>Nothing in this section shall be interpreted to require</w:t>
      </w:r>
    </w:p>
    <w:p w14:paraId="461B811A" w14:textId="77777777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or enable any official of the Department of Defense to provide</w:t>
      </w:r>
    </w:p>
    <w:p w14:paraId="28349146" w14:textId="77777777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funding under this section to any earmark as defined pursuant</w:t>
      </w:r>
    </w:p>
    <w:p w14:paraId="03B5E135" w14:textId="77777777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to House Rule XXI, clause 9, or any congressionally directed</w:t>
      </w:r>
    </w:p>
    <w:p w14:paraId="10A64339" w14:textId="2212C2BF" w:rsidR="00D11AD5" w:rsidRPr="00D11AD5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spending item as defined pursuant to Senate Rule XLIV, paragraph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>5.</w:t>
      </w:r>
    </w:p>
    <w:p w14:paraId="769B4610" w14:textId="77777777" w:rsidR="00087152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 xml:space="preserve">‘‘(d) </w:t>
      </w:r>
      <w:proofErr w:type="gramStart"/>
      <w:r w:rsidRPr="00D11AD5">
        <w:rPr>
          <w:rFonts w:ascii="NewCenturySchlbk-Roman" w:hAnsi="NewCenturySchlbk-Roman" w:cs="NewCenturySchlbk-Roman"/>
        </w:rPr>
        <w:t>FUNDING.—</w:t>
      </w:r>
      <w:proofErr w:type="gramEnd"/>
    </w:p>
    <w:p w14:paraId="3CAB02EA" w14:textId="77777777" w:rsidR="00087152" w:rsidRDefault="00D11AD5" w:rsidP="00D11A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087152">
        <w:rPr>
          <w:rFonts w:ascii="NewCenturySchlbk-Roman" w:hAnsi="NewCenturySchlbk-Roman" w:cs="NewCenturySchlbk-Roman"/>
        </w:rPr>
        <w:t>Subject to the availability of appropriations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087152">
        <w:rPr>
          <w:rFonts w:ascii="NewCenturySchlbk-Roman" w:hAnsi="NewCenturySchlbk-Roman" w:cs="NewCenturySchlbk-Roman"/>
        </w:rPr>
        <w:t>for such purpose</w:t>
      </w:r>
      <w:r w:rsidR="00087152" w:rsidRPr="00087152">
        <w:rPr>
          <w:rFonts w:ascii="NewCenturySchlbk-Roman" w:hAnsi="NewCenturySchlbk-Roman" w:cs="NewCenturySchlbk-Roman"/>
        </w:rPr>
        <w:t xml:space="preserve"> </w:t>
      </w:r>
    </w:p>
    <w:p w14:paraId="7943A82C" w14:textId="77777777" w:rsidR="00087152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and to the limitation under paragraph (2</w:t>
      </w:r>
      <w:r w:rsidRPr="00087152">
        <w:rPr>
          <w:rFonts w:ascii="Times New Roman" w:hAnsi="Times New Roman" w:cs="Times New Roman"/>
          <w:b/>
          <w:bCs/>
          <w:color w:val="7B7B7B" w:themeColor="accent3" w:themeShade="BF"/>
          <w:sz w:val="24"/>
          <w:szCs w:val="24"/>
        </w:rPr>
        <w:t>)</w:t>
      </w:r>
      <w:r w:rsidRPr="00087152">
        <w:rPr>
          <w:rFonts w:ascii="Times New Roman" w:hAnsi="Times New Roman" w:cs="Times New Roman"/>
          <w:sz w:val="24"/>
          <w:szCs w:val="24"/>
        </w:rPr>
        <w:t xml:space="preserve">, </w:t>
      </w:r>
      <w:r w:rsidR="00D11AD5" w:rsidRPr="00087152">
        <w:rPr>
          <w:rFonts w:ascii="NewCenturySchlbk-Roman" w:hAnsi="NewCenturySchlbk-Roman" w:cs="NewCenturySchlbk-Roman"/>
        </w:rPr>
        <w:t xml:space="preserve">the amounts </w:t>
      </w:r>
    </w:p>
    <w:p w14:paraId="5F780C1B" w14:textId="77777777" w:rsidR="00087152" w:rsidRDefault="00D11AD5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087152">
        <w:rPr>
          <w:rFonts w:ascii="NewCenturySchlbk-Roman" w:hAnsi="NewCenturySchlbk-Roman" w:cs="NewCenturySchlbk-Roman"/>
        </w:rPr>
        <w:t>authorized to be appropriated for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research, development, test, </w:t>
      </w:r>
    </w:p>
    <w:p w14:paraId="589ACB7E" w14:textId="77777777" w:rsidR="00087152" w:rsidRDefault="00D11AD5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and evaluation for a fiscal year may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be used for such fiscal year </w:t>
      </w:r>
    </w:p>
    <w:p w14:paraId="50A88992" w14:textId="251CDA28" w:rsidR="00D11AD5" w:rsidRDefault="00D11AD5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for the program established under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>subsection (a).</w:t>
      </w:r>
    </w:p>
    <w:p w14:paraId="0349591F" w14:textId="77777777" w:rsidR="00087152" w:rsidRDefault="00087152" w:rsidP="000871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During any fiscal year, the total amount of awards in an </w:t>
      </w:r>
    </w:p>
    <w:p w14:paraId="24E08833" w14:textId="77777777" w:rsidR="00087152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amount greater than $3,000,000 made under the program </w:t>
      </w:r>
    </w:p>
    <w:p w14:paraId="2AB76F8F" w14:textId="77777777" w:rsidR="00087152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established under subsection (a) may not exceed 25 percent </w:t>
      </w:r>
    </w:p>
    <w:p w14:paraId="517BD316" w14:textId="77777777" w:rsidR="00087152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>of the amount made available to carry out such program</w:t>
      </w:r>
    </w:p>
    <w:p w14:paraId="522700FF" w14:textId="165DC903" w:rsidR="00087152" w:rsidRPr="00087152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87152">
        <w:rPr>
          <w:rFonts w:ascii="Times New Roman" w:hAnsi="Times New Roman" w:cs="Times New Roman"/>
          <w:b/>
          <w:bCs/>
          <w:color w:val="00B050"/>
          <w:sz w:val="24"/>
          <w:szCs w:val="24"/>
        </w:rPr>
        <w:t>during such fiscal year.’’</w:t>
      </w:r>
    </w:p>
    <w:p w14:paraId="5EEA00A1" w14:textId="77777777" w:rsidR="00087152" w:rsidRPr="00D11AD5" w:rsidRDefault="00087152" w:rsidP="00087152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14:paraId="7E8BF706" w14:textId="77777777" w:rsidR="00087152" w:rsidRDefault="00D11AD5" w:rsidP="00D11AD5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 xml:space="preserve">‘‘(e) TRANSFER </w:t>
      </w:r>
      <w:proofErr w:type="gramStart"/>
      <w:r w:rsidRPr="00D11AD5">
        <w:rPr>
          <w:rFonts w:ascii="NewCenturySchlbk-Roman" w:hAnsi="NewCenturySchlbk-Roman" w:cs="NewCenturySchlbk-Roman"/>
        </w:rPr>
        <w:t>AUTHORITY.—</w:t>
      </w:r>
      <w:proofErr w:type="gramEnd"/>
    </w:p>
    <w:p w14:paraId="307DD5E1" w14:textId="6682F5CC" w:rsidR="00087152" w:rsidRPr="00087152" w:rsidRDefault="00D11AD5" w:rsidP="000871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087152">
        <w:rPr>
          <w:rFonts w:ascii="NewCenturySchlbk-Roman" w:hAnsi="NewCenturySchlbk-Roman" w:cs="NewCenturySchlbk-Roman"/>
        </w:rPr>
        <w:t>The Secretary may transfer</w:t>
      </w:r>
      <w:r w:rsidR="00087152" w:rsidRPr="00087152">
        <w:rPr>
          <w:rFonts w:ascii="NewCenturySchlbk-Roman" w:hAnsi="NewCenturySchlbk-Roman" w:cs="NewCenturySchlbk-Roman"/>
        </w:rPr>
        <w:t xml:space="preserve"> </w:t>
      </w:r>
      <w:r w:rsidRPr="00087152">
        <w:rPr>
          <w:rFonts w:ascii="NewCenturySchlbk-Roman" w:hAnsi="NewCenturySchlbk-Roman" w:cs="NewCenturySchlbk-Roman"/>
        </w:rPr>
        <w:t xml:space="preserve">funds available for the program </w:t>
      </w:r>
    </w:p>
    <w:p w14:paraId="50FFD889" w14:textId="77777777" w:rsidR="00087152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087152">
        <w:rPr>
          <w:rFonts w:ascii="NewCenturySchlbk-Roman" w:hAnsi="NewCenturySchlbk-Roman" w:cs="NewCenturySchlbk-Roman"/>
        </w:rPr>
        <w:t>to the research, development, test,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and evaluation accounts of a </w:t>
      </w:r>
    </w:p>
    <w:p w14:paraId="71518549" w14:textId="77777777" w:rsidR="00087152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military department, defense agency,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or the unified combatant </w:t>
      </w:r>
    </w:p>
    <w:p w14:paraId="42E7A360" w14:textId="77777777" w:rsidR="00087152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command for special operations forces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pursuant to a proposal, </w:t>
      </w:r>
    </w:p>
    <w:p w14:paraId="1745D01D" w14:textId="77777777" w:rsidR="00087152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or any part of a proposal, that the Secretary</w:t>
      </w:r>
      <w:r w:rsidR="00087152">
        <w:rPr>
          <w:rFonts w:ascii="NewCenturySchlbk-Roman" w:hAnsi="NewCenturySchlbk-Roman" w:cs="NewCenturySchlbk-Roman"/>
        </w:rPr>
        <w:t xml:space="preserve"> </w:t>
      </w:r>
      <w:r w:rsidRPr="00D11AD5">
        <w:rPr>
          <w:rFonts w:ascii="NewCenturySchlbk-Roman" w:hAnsi="NewCenturySchlbk-Roman" w:cs="NewCenturySchlbk-Roman"/>
        </w:rPr>
        <w:t xml:space="preserve">determines would </w:t>
      </w:r>
    </w:p>
    <w:p w14:paraId="2CCBDB09" w14:textId="53EBC733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directly support the purposes of the program.</w:t>
      </w:r>
    </w:p>
    <w:p w14:paraId="239EA3D7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‘‘(2) The transfer authority provided in this subsection is in</w:t>
      </w:r>
    </w:p>
    <w:p w14:paraId="18003218" w14:textId="77777777" w:rsidR="00D11AD5" w:rsidRPr="00D11AD5" w:rsidRDefault="00D11AD5" w:rsidP="00087152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addition to any other transfer authority available to the Department</w:t>
      </w:r>
    </w:p>
    <w:p w14:paraId="338A3DBE" w14:textId="7F0ABD12" w:rsidR="00D11AD5" w:rsidRPr="00D11AD5" w:rsidRDefault="00D11AD5" w:rsidP="00087152">
      <w:pPr>
        <w:ind w:left="720"/>
        <w:rPr>
          <w:rFonts w:ascii="NewCenturySchlbk-Roman" w:hAnsi="NewCenturySchlbk-Roman" w:cs="NewCenturySchlbk-Roman"/>
        </w:rPr>
      </w:pPr>
      <w:r w:rsidRPr="00D11AD5">
        <w:rPr>
          <w:rFonts w:ascii="NewCenturySchlbk-Roman" w:hAnsi="NewCenturySchlbk-Roman" w:cs="NewCenturySchlbk-Roman"/>
        </w:rPr>
        <w:t>of Defense.’’</w:t>
      </w:r>
    </w:p>
    <w:p w14:paraId="23F2AA57" w14:textId="2F7D9004" w:rsidR="00D11AD5" w:rsidRDefault="00D11AD5" w:rsidP="00D11AD5">
      <w:r>
        <w:rPr>
          <w:rFonts w:ascii="NewCenturySchlbk-Bold" w:hAnsi="NewCenturySchlbk-Bold" w:cs="NewCenturySchlbk-Bold"/>
          <w:b/>
          <w:bCs/>
          <w:sz w:val="20"/>
          <w:szCs w:val="20"/>
        </w:rPr>
        <w:t>===================================================</w:t>
      </w:r>
    </w:p>
    <w:sectPr w:rsidR="00D1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E12"/>
    <w:multiLevelType w:val="hybridMultilevel"/>
    <w:tmpl w:val="4FD88304"/>
    <w:lvl w:ilvl="0" w:tplc="3ED4CE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5A5A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5FB"/>
    <w:multiLevelType w:val="hybridMultilevel"/>
    <w:tmpl w:val="8A567840"/>
    <w:lvl w:ilvl="0" w:tplc="19006E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4023F"/>
    <w:multiLevelType w:val="hybridMultilevel"/>
    <w:tmpl w:val="7ABAB8CA"/>
    <w:lvl w:ilvl="0" w:tplc="76E49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91"/>
    <w:rsid w:val="00087152"/>
    <w:rsid w:val="006273DD"/>
    <w:rsid w:val="006F5291"/>
    <w:rsid w:val="00D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F2F3"/>
  <w15:chartTrackingRefBased/>
  <w15:docId w15:val="{EB07AA8F-D9B9-4757-A106-EBF2A0D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E68D-5881-43FA-999F-03BF437F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Pantuck</dc:creator>
  <cp:keywords/>
  <dc:description/>
  <cp:lastModifiedBy>Brad Pantuck</cp:lastModifiedBy>
  <cp:revision>2</cp:revision>
  <dcterms:created xsi:type="dcterms:W3CDTF">2020-01-03T15:25:00Z</dcterms:created>
  <dcterms:modified xsi:type="dcterms:W3CDTF">2020-01-03T15:45:00Z</dcterms:modified>
</cp:coreProperties>
</file>